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"Bark like no one’s listening" - Rex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"</w:t>
      </w:r>
      <w:r w:rsidDel="00000000" w:rsidR="00000000" w:rsidRPr="00000000">
        <w:rPr>
          <w:rFonts w:ascii="Roboto" w:cs="Roboto" w:eastAsia="Roboto" w:hAnsi="Roboto"/>
          <w:color w:val="222222"/>
          <w:sz w:val="24"/>
          <w:szCs w:val="24"/>
          <w:highlight w:val="white"/>
          <w:rtl w:val="0"/>
        </w:rPr>
        <w:t xml:space="preserve">RAWRGWAWGGR</w:t>
      </w:r>
      <w:r w:rsidDel="00000000" w:rsidR="00000000" w:rsidRPr="00000000">
        <w:rPr>
          <w:rtl w:val="0"/>
        </w:rPr>
        <w:t xml:space="preserve">" - Chewy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"Life is like peanut butter: crunchy" - Peanut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"Channel your inner husky" - Tiny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